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05FF" w14:textId="77777777" w:rsidR="006B64F2" w:rsidRDefault="00CB39F0">
      <w:pPr>
        <w:spacing w:after="28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Lead Testing Initial Test Results</w:t>
      </w:r>
    </w:p>
    <w:p w14:paraId="29BE0E5C" w14:textId="77777777" w:rsidR="006B64F2" w:rsidRDefault="00CB39F0">
      <w:pPr>
        <w:pStyle w:val="NormalWeb"/>
        <w:shd w:val="clear" w:color="auto" w:fill="FFFFFF"/>
        <w:rPr>
          <w:rFonts w:ascii="Work Sans" w:hAnsi="Work Sans"/>
          <w:color w:val="000000"/>
          <w:sz w:val="22"/>
          <w:szCs w:val="22"/>
        </w:rPr>
      </w:pPr>
      <w:r>
        <w:rPr>
          <w:rFonts w:ascii="Work Sans" w:hAnsi="Work Sans"/>
          <w:color w:val="000000"/>
          <w:sz w:val="22"/>
          <w:szCs w:val="22"/>
        </w:rPr>
        <w:tab/>
        <w:t>We received the results from the first round of lead testing. In accordance with statute, these results are being communicated to parents and staff.</w:t>
      </w:r>
    </w:p>
    <w:tbl>
      <w:tblPr>
        <w:tblW w:w="6880" w:type="dxa"/>
        <w:tblLook w:val="04A0" w:firstRow="1" w:lastRow="0" w:firstColumn="1" w:lastColumn="0" w:noHBand="0" w:noVBand="1"/>
      </w:tblPr>
      <w:tblGrid>
        <w:gridCol w:w="3880"/>
        <w:gridCol w:w="1220"/>
        <w:gridCol w:w="1100"/>
        <w:gridCol w:w="680"/>
      </w:tblGrid>
      <w:tr w:rsidR="003A37F7" w:rsidRPr="003A37F7" w14:paraId="358654DB" w14:textId="77777777" w:rsidTr="003A37F7">
        <w:trPr>
          <w:trHeight w:val="288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79A8" w14:textId="77777777" w:rsidR="003A37F7" w:rsidRPr="003A37F7" w:rsidRDefault="003A37F7" w:rsidP="003A37F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 w:rsidRPr="003A37F7">
              <w:rPr>
                <w:rFonts w:eastAsia="Times New Roman" w:cs="Calibri"/>
                <w:color w:val="000000"/>
                <w:kern w:val="0"/>
              </w:rPr>
              <w:t>Number of Samples tested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F15B8" w14:textId="77777777" w:rsidR="003A37F7" w:rsidRPr="003A37F7" w:rsidRDefault="003A37F7" w:rsidP="003A37F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</w:rPr>
            </w:pPr>
            <w:r w:rsidRPr="003A37F7">
              <w:rPr>
                <w:rFonts w:eastAsia="Times New Roman" w:cs="Calibri"/>
                <w:color w:val="000000"/>
                <w:kern w:val="0"/>
              </w:rPr>
              <w:t>68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11F10" w14:textId="77777777" w:rsidR="003A37F7" w:rsidRPr="003A37F7" w:rsidRDefault="003A37F7" w:rsidP="003A37F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</w:rPr>
            </w:pPr>
            <w:r w:rsidRPr="003A37F7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A652" w14:textId="77777777" w:rsidR="003A37F7" w:rsidRPr="003A37F7" w:rsidRDefault="003A37F7" w:rsidP="003A37F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</w:rPr>
            </w:pPr>
            <w:r w:rsidRPr="003A37F7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</w:tr>
      <w:tr w:rsidR="003A37F7" w:rsidRPr="003A37F7" w14:paraId="179570E0" w14:textId="77777777" w:rsidTr="003A37F7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230D1" w14:textId="77777777" w:rsidR="003A37F7" w:rsidRPr="003A37F7" w:rsidRDefault="003A37F7" w:rsidP="003A37F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 w:rsidRPr="003A37F7">
              <w:rPr>
                <w:rFonts w:eastAsia="Times New Roman" w:cs="Calibri"/>
                <w:color w:val="000000"/>
                <w:kern w:val="0"/>
              </w:rPr>
              <w:t>Number of Samples with lead Detected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7CB46" w14:textId="77777777" w:rsidR="003A37F7" w:rsidRPr="003A37F7" w:rsidRDefault="003A37F7" w:rsidP="003A37F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</w:rPr>
            </w:pPr>
            <w:r w:rsidRPr="003A37F7">
              <w:rPr>
                <w:rFonts w:eastAsia="Times New Roman" w:cs="Calibri"/>
                <w:color w:val="000000"/>
                <w:kern w:val="0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DEDF5" w14:textId="77777777" w:rsidR="003A37F7" w:rsidRPr="003A37F7" w:rsidRDefault="003A37F7" w:rsidP="003A37F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</w:rPr>
            </w:pPr>
            <w:r w:rsidRPr="003A37F7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AC52" w14:textId="77777777" w:rsidR="003A37F7" w:rsidRPr="003A37F7" w:rsidRDefault="003A37F7" w:rsidP="003A37F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</w:rPr>
            </w:pPr>
            <w:r w:rsidRPr="003A37F7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</w:tr>
      <w:tr w:rsidR="003A37F7" w:rsidRPr="003A37F7" w14:paraId="7B45E36F" w14:textId="77777777" w:rsidTr="003A37F7">
        <w:trPr>
          <w:trHeight w:val="57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805DC" w14:textId="77777777" w:rsidR="003A37F7" w:rsidRPr="003A37F7" w:rsidRDefault="003A37F7" w:rsidP="003A37F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 w:rsidRPr="003A37F7">
              <w:rPr>
                <w:rFonts w:eastAsia="Times New Roman" w:cs="Calibri"/>
                <w:color w:val="000000"/>
                <w:kern w:val="0"/>
              </w:rPr>
              <w:t>Percentage of Samples with Lead Detected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5A383" w14:textId="77777777" w:rsidR="003A37F7" w:rsidRPr="003A37F7" w:rsidRDefault="003A37F7" w:rsidP="003A37F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</w:rPr>
            </w:pPr>
            <w:r w:rsidRPr="003A37F7">
              <w:rPr>
                <w:rFonts w:eastAsia="Times New Roman" w:cs="Calibri"/>
                <w:color w:val="000000"/>
                <w:kern w:val="0"/>
              </w:rPr>
              <w:t>13.2%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EA338" w14:textId="77777777" w:rsidR="003A37F7" w:rsidRPr="003A37F7" w:rsidRDefault="003A37F7" w:rsidP="003A37F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 w:rsidRPr="003A37F7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71E3" w14:textId="77777777" w:rsidR="003A37F7" w:rsidRPr="003A37F7" w:rsidRDefault="003A37F7" w:rsidP="003A37F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 w:rsidRPr="003A37F7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</w:tr>
      <w:tr w:rsidR="003A37F7" w:rsidRPr="003A37F7" w14:paraId="6442F33D" w14:textId="77777777" w:rsidTr="003A37F7">
        <w:trPr>
          <w:trHeight w:val="576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30E96" w14:textId="77777777" w:rsidR="003A37F7" w:rsidRPr="003A37F7" w:rsidRDefault="003A37F7" w:rsidP="003A37F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 w:rsidRPr="003A37F7">
              <w:rPr>
                <w:rFonts w:eastAsia="Times New Roman" w:cs="Calibri"/>
                <w:color w:val="000000"/>
                <w:kern w:val="0"/>
              </w:rPr>
              <w:t>Number of Samples with lead Detected Above the Program Remediation Trigger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74AD" w14:textId="77777777" w:rsidR="003A37F7" w:rsidRPr="003A37F7" w:rsidRDefault="003A37F7" w:rsidP="003A37F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</w:rPr>
            </w:pPr>
            <w:r w:rsidRPr="003A37F7">
              <w:rPr>
                <w:rFonts w:eastAsia="Times New Roman" w:cs="Calibri"/>
                <w:color w:val="000000"/>
                <w:kern w:val="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FBEB5" w14:textId="77777777" w:rsidR="003A37F7" w:rsidRPr="003A37F7" w:rsidRDefault="003A37F7" w:rsidP="003A37F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 w:rsidRPr="003A37F7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DF85" w14:textId="77777777" w:rsidR="003A37F7" w:rsidRPr="003A37F7" w:rsidRDefault="003A37F7" w:rsidP="003A37F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 w:rsidRPr="003A37F7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</w:tr>
      <w:tr w:rsidR="003A37F7" w:rsidRPr="003A37F7" w14:paraId="3117BE81" w14:textId="77777777" w:rsidTr="003A37F7">
        <w:trPr>
          <w:trHeight w:val="576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A6A29" w14:textId="77777777" w:rsidR="003A37F7" w:rsidRPr="003A37F7" w:rsidRDefault="003A37F7" w:rsidP="003A37F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 w:rsidRPr="003A37F7">
              <w:rPr>
                <w:rFonts w:eastAsia="Times New Roman" w:cs="Calibri"/>
                <w:color w:val="000000"/>
                <w:kern w:val="0"/>
              </w:rPr>
              <w:t>Percentage of Samples with Lead Detected Above the Action Level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7A287" w14:textId="77777777" w:rsidR="003A37F7" w:rsidRPr="003A37F7" w:rsidRDefault="003A37F7" w:rsidP="003A37F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</w:rPr>
            </w:pPr>
            <w:r w:rsidRPr="003A37F7">
              <w:rPr>
                <w:rFonts w:eastAsia="Times New Roman" w:cs="Calibri"/>
                <w:color w:val="000000"/>
                <w:kern w:val="0"/>
              </w:rPr>
              <w:t>4.41%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2E3CC" w14:textId="77777777" w:rsidR="003A37F7" w:rsidRPr="003A37F7" w:rsidRDefault="003A37F7" w:rsidP="003A37F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 w:rsidRPr="003A37F7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B8E9" w14:textId="77777777" w:rsidR="003A37F7" w:rsidRPr="003A37F7" w:rsidRDefault="003A37F7" w:rsidP="003A37F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</w:rPr>
            </w:pPr>
            <w:r w:rsidRPr="003A37F7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</w:tr>
    </w:tbl>
    <w:p w14:paraId="7FBF3A4B" w14:textId="76468926" w:rsidR="006B64F2" w:rsidRDefault="00CB39F0">
      <w:pPr>
        <w:pStyle w:val="NormalWeb"/>
        <w:shd w:val="clear" w:color="auto" w:fill="FFFFFF"/>
        <w:rPr>
          <w:rFonts w:ascii="Work Sans" w:hAnsi="Work Sans"/>
          <w:b/>
          <w:bCs/>
          <w:color w:val="000000"/>
          <w:sz w:val="22"/>
          <w:szCs w:val="22"/>
        </w:rPr>
      </w:pPr>
      <w:r>
        <w:rPr>
          <w:rFonts w:ascii="Work Sans" w:hAnsi="Work Sans"/>
          <w:b/>
          <w:bCs/>
          <w:color w:val="000000"/>
          <w:sz w:val="22"/>
          <w:szCs w:val="22"/>
        </w:rPr>
        <w:t>Immediate actions:</w:t>
      </w:r>
    </w:p>
    <w:p w14:paraId="662C59F0" w14:textId="16908420" w:rsidR="006B64F2" w:rsidRDefault="00CB39F0">
      <w:pPr>
        <w:pStyle w:val="NormalWeb"/>
        <w:shd w:val="clear" w:color="auto" w:fill="FFFFFF"/>
        <w:spacing w:before="0" w:after="0"/>
        <w:rPr>
          <w:rFonts w:ascii="Work Sans" w:hAnsi="Work Sans"/>
          <w:color w:val="000000"/>
          <w:sz w:val="22"/>
          <w:szCs w:val="22"/>
        </w:rPr>
      </w:pPr>
      <w:r>
        <w:rPr>
          <w:rFonts w:ascii="Work Sans" w:hAnsi="Work Sans"/>
          <w:color w:val="000000"/>
          <w:sz w:val="22"/>
          <w:szCs w:val="22"/>
        </w:rPr>
        <w:t>In accordance with guidance from the EPA, the affected faucets or outlets should have signage placed to indicate it is non-potable, not for drinking, or washing dishes. This signage can be temporary since testing is still in progress to localize the source of lead contaminants.</w:t>
      </w:r>
      <w:r w:rsidR="00930762">
        <w:rPr>
          <w:rFonts w:ascii="Work Sans" w:hAnsi="Work Sans"/>
          <w:color w:val="000000"/>
          <w:sz w:val="22"/>
          <w:szCs w:val="22"/>
        </w:rPr>
        <w:t xml:space="preserve"> The EPA allows for continued usage of outlets with a daily flush 3-5 minutes-prior to use.</w:t>
      </w:r>
    </w:p>
    <w:p w14:paraId="4E832E6B" w14:textId="77777777" w:rsidR="006B64F2" w:rsidRDefault="006B64F2">
      <w:pPr>
        <w:pStyle w:val="NormalWeb"/>
        <w:shd w:val="clear" w:color="auto" w:fill="FFFFFF"/>
        <w:spacing w:before="0" w:after="0"/>
        <w:rPr>
          <w:rFonts w:ascii="Work Sans" w:hAnsi="Work Sans"/>
          <w:color w:val="000000"/>
          <w:sz w:val="22"/>
          <w:szCs w:val="22"/>
        </w:rPr>
      </w:pPr>
    </w:p>
    <w:p w14:paraId="19989DBC" w14:textId="0EA7BE54" w:rsidR="006B64F2" w:rsidRDefault="003A37F7">
      <w:pPr>
        <w:pStyle w:val="NormalWeb"/>
        <w:shd w:val="clear" w:color="auto" w:fill="FFFFFF"/>
        <w:spacing w:before="0" w:after="0"/>
        <w:rPr>
          <w:rFonts w:ascii="Work Sans" w:hAnsi="Work Sans"/>
          <w:color w:val="000000"/>
          <w:sz w:val="22"/>
          <w:szCs w:val="22"/>
        </w:rPr>
      </w:pPr>
      <w:r>
        <w:rPr>
          <w:rFonts w:ascii="Work Sans" w:hAnsi="Work Sans"/>
          <w:color w:val="000000"/>
          <w:sz w:val="22"/>
          <w:szCs w:val="22"/>
        </w:rPr>
        <w:t>Only three outlets were above the action level of 5 parts per billion, all three are outside spigots labeled as follows:</w:t>
      </w:r>
    </w:p>
    <w:p w14:paraId="28193CBA" w14:textId="77777777" w:rsidR="00930762" w:rsidRDefault="00930762" w:rsidP="00930762">
      <w:pPr>
        <w:pStyle w:val="NormalWeb"/>
        <w:shd w:val="clear" w:color="auto" w:fill="FFFFFF"/>
        <w:spacing w:before="0" w:after="0"/>
        <w:jc w:val="center"/>
        <w:rPr>
          <w:rFonts w:ascii="Work Sans" w:hAnsi="Work Sans"/>
          <w:b/>
          <w:bCs/>
          <w:color w:val="000000"/>
          <w:u w:val="single"/>
        </w:rPr>
      </w:pPr>
      <w:r>
        <w:rPr>
          <w:rFonts w:ascii="Work Sans" w:hAnsi="Work Sans"/>
          <w:b/>
          <w:bCs/>
          <w:color w:val="000000"/>
          <w:u w:val="single"/>
        </w:rPr>
        <w:t>Follow-up Flush Plan for KCIA</w:t>
      </w:r>
    </w:p>
    <w:p w14:paraId="78B08CDF" w14:textId="77777777" w:rsidR="00930762" w:rsidRDefault="00930762">
      <w:pPr>
        <w:pStyle w:val="NormalWeb"/>
        <w:shd w:val="clear" w:color="auto" w:fill="FFFFFF"/>
        <w:spacing w:before="0" w:after="0"/>
        <w:rPr>
          <w:rFonts w:ascii="Work Sans" w:hAnsi="Work Sans"/>
          <w:color w:val="000000"/>
          <w:sz w:val="22"/>
          <w:szCs w:val="22"/>
        </w:rPr>
      </w:pPr>
    </w:p>
    <w:tbl>
      <w:tblPr>
        <w:tblW w:w="3520" w:type="dxa"/>
        <w:tblLook w:val="04A0" w:firstRow="1" w:lastRow="0" w:firstColumn="1" w:lastColumn="0" w:noHBand="0" w:noVBand="1"/>
      </w:tblPr>
      <w:tblGrid>
        <w:gridCol w:w="2500"/>
        <w:gridCol w:w="1020"/>
      </w:tblGrid>
      <w:tr w:rsidR="003A37F7" w:rsidRPr="003A37F7" w14:paraId="2F985893" w14:textId="77777777" w:rsidTr="003A37F7">
        <w:trPr>
          <w:trHeight w:val="276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1F4C" w14:textId="77777777" w:rsidR="003A37F7" w:rsidRPr="003A37F7" w:rsidRDefault="003A37F7" w:rsidP="003A37F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3A37F7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KCIA-OUTSIDE-GRDN-SPGT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1F7A02" w14:textId="77777777" w:rsidR="003A37F7" w:rsidRPr="003A37F7" w:rsidRDefault="003A37F7" w:rsidP="003A37F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A37F7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</w:rPr>
              <w:t>11.8ppb</w:t>
            </w:r>
          </w:p>
        </w:tc>
      </w:tr>
      <w:tr w:rsidR="003A37F7" w:rsidRPr="003A37F7" w14:paraId="0F4B5401" w14:textId="77777777" w:rsidTr="003A37F7">
        <w:trPr>
          <w:trHeight w:val="276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BB93" w14:textId="77777777" w:rsidR="003A37F7" w:rsidRPr="003A37F7" w:rsidRDefault="003A37F7" w:rsidP="003A37F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3A37F7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KCIA-OUTSIDE-RMP-SPGT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4AAFEA" w14:textId="77777777" w:rsidR="003A37F7" w:rsidRPr="003A37F7" w:rsidRDefault="003A37F7" w:rsidP="003A37F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A37F7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</w:rPr>
              <w:t>7.12ppb</w:t>
            </w:r>
          </w:p>
        </w:tc>
      </w:tr>
      <w:tr w:rsidR="003A37F7" w:rsidRPr="003A37F7" w14:paraId="4F473BFD" w14:textId="77777777" w:rsidTr="003A37F7">
        <w:trPr>
          <w:trHeight w:val="276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6EBC" w14:textId="77777777" w:rsidR="003A37F7" w:rsidRPr="003A37F7" w:rsidRDefault="003A37F7" w:rsidP="003A37F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3A37F7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KCIA-OUTSIDE-FRNT-SPGT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BF059E" w14:textId="77777777" w:rsidR="003A37F7" w:rsidRPr="003A37F7" w:rsidRDefault="003A37F7" w:rsidP="003A37F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A37F7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</w:rPr>
              <w:t>5.36ppb</w:t>
            </w:r>
          </w:p>
        </w:tc>
      </w:tr>
    </w:tbl>
    <w:p w14:paraId="4E9D1BAB" w14:textId="77777777" w:rsidR="003A37F7" w:rsidRDefault="003A37F7">
      <w:pPr>
        <w:pStyle w:val="NormalWeb"/>
        <w:shd w:val="clear" w:color="auto" w:fill="FFFFFF"/>
        <w:spacing w:before="0" w:after="0"/>
        <w:rPr>
          <w:rFonts w:ascii="Work Sans" w:hAnsi="Work Sans"/>
          <w:color w:val="000000"/>
          <w:sz w:val="22"/>
          <w:szCs w:val="22"/>
        </w:rPr>
      </w:pPr>
    </w:p>
    <w:p w14:paraId="0EE7E721" w14:textId="02EE6A27" w:rsidR="006B64F2" w:rsidRDefault="00CB39F0">
      <w:pPr>
        <w:pStyle w:val="NormalWeb"/>
        <w:shd w:val="clear" w:color="auto" w:fill="FFFFFF"/>
        <w:spacing w:before="0" w:after="0"/>
        <w:rPr>
          <w:rFonts w:ascii="Work Sans" w:hAnsi="Work Sans"/>
          <w:color w:val="000000"/>
          <w:sz w:val="22"/>
          <w:szCs w:val="22"/>
        </w:rPr>
      </w:pPr>
      <w:r>
        <w:rPr>
          <w:rFonts w:ascii="Work Sans" w:hAnsi="Work Sans"/>
          <w:color w:val="000000"/>
          <w:sz w:val="22"/>
          <w:szCs w:val="22"/>
        </w:rPr>
        <w:t xml:space="preserve">All should have signage placed to indicate it is “non potable” </w:t>
      </w:r>
      <w:r w:rsidR="003A37F7">
        <w:rPr>
          <w:rFonts w:ascii="Work Sans" w:hAnsi="Work Sans"/>
          <w:color w:val="000000"/>
          <w:sz w:val="22"/>
          <w:szCs w:val="22"/>
        </w:rPr>
        <w:t xml:space="preserve">until </w:t>
      </w:r>
      <w:r>
        <w:rPr>
          <w:rFonts w:ascii="Work Sans" w:hAnsi="Work Sans"/>
          <w:color w:val="000000"/>
          <w:sz w:val="22"/>
          <w:szCs w:val="22"/>
        </w:rPr>
        <w:t>testing and remediation is complete.</w:t>
      </w:r>
    </w:p>
    <w:p w14:paraId="719A8872" w14:textId="77777777" w:rsidR="006B64F2" w:rsidRDefault="00CB39F0">
      <w:pPr>
        <w:pStyle w:val="NormalWeb"/>
        <w:shd w:val="clear" w:color="auto" w:fill="FFFFFF"/>
        <w:spacing w:after="0"/>
        <w:rPr>
          <w:rFonts w:ascii="Work Sans" w:hAnsi="Work Sans"/>
          <w:b/>
          <w:bCs/>
          <w:color w:val="000000"/>
          <w:sz w:val="22"/>
          <w:szCs w:val="22"/>
        </w:rPr>
      </w:pPr>
      <w:r>
        <w:rPr>
          <w:rFonts w:ascii="Work Sans" w:hAnsi="Work Sans"/>
          <w:b/>
          <w:bCs/>
          <w:color w:val="000000"/>
          <w:sz w:val="22"/>
          <w:szCs w:val="22"/>
        </w:rPr>
        <w:t>Next steps:</w:t>
      </w:r>
    </w:p>
    <w:p w14:paraId="507164BD" w14:textId="77777777" w:rsidR="006B64F2" w:rsidRDefault="006B64F2">
      <w:pPr>
        <w:pStyle w:val="NormalWeb"/>
        <w:shd w:val="clear" w:color="auto" w:fill="FFFFFF"/>
        <w:spacing w:before="0" w:after="0"/>
        <w:rPr>
          <w:rFonts w:ascii="Work Sans" w:hAnsi="Work Sans"/>
          <w:color w:val="000000"/>
          <w:sz w:val="22"/>
          <w:szCs w:val="22"/>
        </w:rPr>
      </w:pPr>
    </w:p>
    <w:p w14:paraId="29329315" w14:textId="7AB1A171" w:rsidR="006B64F2" w:rsidRDefault="00CB39F0">
      <w:pPr>
        <w:pStyle w:val="NormalWeb"/>
        <w:shd w:val="clear" w:color="auto" w:fill="FFFFFF"/>
        <w:spacing w:before="0" w:after="0"/>
        <w:rPr>
          <w:rFonts w:ascii="Work Sans" w:hAnsi="Work Sans"/>
          <w:color w:val="000000"/>
          <w:sz w:val="22"/>
          <w:szCs w:val="22"/>
        </w:rPr>
      </w:pPr>
      <w:r>
        <w:rPr>
          <w:rFonts w:ascii="Work Sans" w:hAnsi="Work Sans"/>
          <w:color w:val="000000"/>
          <w:sz w:val="22"/>
          <w:szCs w:val="22"/>
        </w:rPr>
        <w:t xml:space="preserve">Follow up flush samples will be collected per EPA and DHSS testing guidelines. Scheduled for </w:t>
      </w:r>
      <w:r w:rsidR="003A37F7">
        <w:rPr>
          <w:rFonts w:ascii="Work Sans" w:hAnsi="Work Sans"/>
          <w:color w:val="000000"/>
          <w:sz w:val="22"/>
          <w:szCs w:val="22"/>
        </w:rPr>
        <w:t>October17th</w:t>
      </w:r>
      <w:r>
        <w:rPr>
          <w:rFonts w:ascii="Work Sans" w:hAnsi="Work Sans"/>
          <w:color w:val="000000"/>
          <w:sz w:val="22"/>
          <w:szCs w:val="22"/>
        </w:rPr>
        <w:t xml:space="preserve">, 2023. </w:t>
      </w:r>
    </w:p>
    <w:p w14:paraId="06E0908E" w14:textId="77777777" w:rsidR="00930762" w:rsidRDefault="00CB39F0" w:rsidP="00930762">
      <w:pPr>
        <w:pStyle w:val="NormalWeb"/>
        <w:shd w:val="clear" w:color="auto" w:fill="FFFFFF"/>
        <w:rPr>
          <w:rFonts w:ascii="Work Sans" w:hAnsi="Work Sans"/>
          <w:b/>
          <w:bCs/>
          <w:color w:val="000000"/>
          <w:sz w:val="22"/>
          <w:szCs w:val="22"/>
        </w:rPr>
      </w:pPr>
      <w:r>
        <w:rPr>
          <w:rFonts w:ascii="Work Sans" w:hAnsi="Work Sans"/>
          <w:b/>
          <w:bCs/>
          <w:color w:val="000000"/>
          <w:sz w:val="22"/>
          <w:szCs w:val="22"/>
        </w:rPr>
        <w:t>Health:</w:t>
      </w:r>
    </w:p>
    <w:p w14:paraId="02401B3A" w14:textId="2614CBF1" w:rsidR="00930762" w:rsidRPr="00930762" w:rsidRDefault="00930762" w:rsidP="00930762">
      <w:pPr>
        <w:pStyle w:val="NormalWeb"/>
        <w:shd w:val="clear" w:color="auto" w:fill="FFFFFF"/>
        <w:spacing w:before="0" w:after="0"/>
        <w:rPr>
          <w:rFonts w:ascii="Work Sans" w:hAnsi="Work Sans"/>
          <w:b/>
          <w:bCs/>
          <w:color w:val="000000"/>
          <w:sz w:val="22"/>
          <w:szCs w:val="22"/>
        </w:rPr>
      </w:pPr>
      <w:hyperlink r:id="rId7" w:tgtFrame="_blank" w:history="1">
        <w:r>
          <w:rPr>
            <w:rStyle w:val="Hyperlink"/>
            <w:rFonts w:ascii="Roboto" w:hAnsi="Roboto"/>
            <w:color w:val="4007A2"/>
            <w:sz w:val="30"/>
            <w:szCs w:val="30"/>
          </w:rPr>
          <w:t>Kansas City Health Department</w:t>
        </w:r>
      </w:hyperlink>
    </w:p>
    <w:p w14:paraId="70612DC6" w14:textId="77777777" w:rsidR="00930762" w:rsidRDefault="00930762" w:rsidP="00930762">
      <w:pPr>
        <w:shd w:val="clear" w:color="auto" w:fill="FFFFFF"/>
        <w:spacing w:after="0" w:line="330" w:lineRule="atLeast"/>
        <w:rPr>
          <w:rFonts w:ascii="Roboto" w:hAnsi="Roboto"/>
          <w:color w:val="767676"/>
          <w:sz w:val="21"/>
          <w:szCs w:val="21"/>
        </w:rPr>
      </w:pPr>
      <w:r>
        <w:rPr>
          <w:rStyle w:val="HTMLCite"/>
          <w:rFonts w:ascii="Roboto" w:hAnsi="Roboto"/>
          <w:i w:val="0"/>
          <w:iCs w:val="0"/>
          <w:color w:val="006D21"/>
          <w:sz w:val="21"/>
          <w:szCs w:val="21"/>
        </w:rPr>
        <w:t>www.kcmo.gov</w:t>
      </w:r>
    </w:p>
    <w:p w14:paraId="5B7A9F37" w14:textId="63BEEE5A" w:rsidR="00930762" w:rsidRDefault="00930762" w:rsidP="00930762">
      <w:pPr>
        <w:shd w:val="clear" w:color="auto" w:fill="FFFFFF"/>
        <w:spacing w:after="0" w:line="330" w:lineRule="atLeast"/>
        <w:rPr>
          <w:rFonts w:ascii="Roboto" w:hAnsi="Roboto"/>
          <w:color w:val="767676"/>
          <w:sz w:val="21"/>
          <w:szCs w:val="21"/>
        </w:rPr>
      </w:pPr>
      <w:hyperlink r:id="rId8" w:history="1">
        <w:r>
          <w:rPr>
            <w:rStyle w:val="Hyperlink"/>
            <w:rFonts w:ascii="Roboto" w:hAnsi="Roboto"/>
            <w:color w:val="4007A2"/>
            <w:sz w:val="21"/>
            <w:szCs w:val="21"/>
          </w:rPr>
          <w:t>2400 Troost Ave, Kansas City, MO 64108</w:t>
        </w:r>
      </w:hyperlink>
      <w:r>
        <w:rPr>
          <w:rFonts w:ascii="Roboto" w:hAnsi="Roboto"/>
          <w:color w:val="767676"/>
          <w:sz w:val="21"/>
          <w:szCs w:val="21"/>
        </w:rPr>
        <w:t xml:space="preserve">      </w:t>
      </w:r>
      <w:hyperlink r:id="rId9" w:history="1">
        <w:r>
          <w:rPr>
            <w:rStyle w:val="Hyperlink"/>
            <w:rFonts w:ascii="Roboto" w:hAnsi="Roboto"/>
            <w:color w:val="4007A2"/>
            <w:sz w:val="21"/>
            <w:szCs w:val="21"/>
          </w:rPr>
          <w:t>(816) 513-6008</w:t>
        </w:r>
      </w:hyperlink>
    </w:p>
    <w:p w14:paraId="38C3BB0D" w14:textId="77777777" w:rsidR="006B64F2" w:rsidRDefault="006B64F2">
      <w:pPr>
        <w:pStyle w:val="NormalWeb"/>
        <w:shd w:val="clear" w:color="auto" w:fill="FFFFFF"/>
        <w:rPr>
          <w:rFonts w:ascii="Work Sans" w:hAnsi="Work Sans"/>
          <w:color w:val="000000"/>
          <w:sz w:val="22"/>
          <w:szCs w:val="22"/>
        </w:rPr>
      </w:pPr>
    </w:p>
    <w:p w14:paraId="47EBBCD6" w14:textId="77777777" w:rsidR="006B64F2" w:rsidRDefault="00CB39F0">
      <w:pPr>
        <w:pStyle w:val="NormalWeb"/>
        <w:shd w:val="clear" w:color="auto" w:fill="FFFFFF"/>
        <w:rPr>
          <w:rFonts w:ascii="Work Sans" w:hAnsi="Work Sans"/>
          <w:color w:val="000000"/>
          <w:sz w:val="22"/>
          <w:szCs w:val="22"/>
        </w:rPr>
      </w:pPr>
      <w:r>
        <w:rPr>
          <w:rFonts w:ascii="Work Sans" w:hAnsi="Work Sans"/>
          <w:color w:val="000000"/>
          <w:sz w:val="22"/>
          <w:szCs w:val="22"/>
        </w:rPr>
        <w:t>Additional information and resources on the health effects of lead contamination are available here: </w:t>
      </w:r>
    </w:p>
    <w:p w14:paraId="39B832C9" w14:textId="22A8084C" w:rsidR="006B64F2" w:rsidRDefault="0074129F">
      <w:pPr>
        <w:pStyle w:val="NormalWeb"/>
        <w:shd w:val="clear" w:color="auto" w:fill="FFFFFF"/>
      </w:pPr>
      <w:hyperlink r:id="rId10">
        <w:r w:rsidR="00CB39F0">
          <w:rPr>
            <w:rStyle w:val="Hyperlink"/>
            <w:rFonts w:ascii="Work Sans" w:hAnsi="Work Sans"/>
            <w:sz w:val="22"/>
            <w:szCs w:val="22"/>
          </w:rPr>
          <w:t>https://www.epa.gov/ground-water-and-drinking-water/basic-information-about-lead-drinking-water#health</w:t>
        </w:r>
      </w:hyperlink>
    </w:p>
    <w:tbl>
      <w:tblPr>
        <w:tblW w:w="12000" w:type="dxa"/>
        <w:tblInd w:w="187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275"/>
        <w:gridCol w:w="7725"/>
      </w:tblGrid>
      <w:tr w:rsidR="006B64F2" w14:paraId="186E1BF0" w14:textId="77777777">
        <w:tc>
          <w:tcPr>
            <w:tcW w:w="427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</w:tcBorders>
          </w:tcPr>
          <w:p w14:paraId="6A812913" w14:textId="77777777" w:rsidR="006B64F2" w:rsidRDefault="00CB39F0">
            <w:pPr>
              <w:widowControl w:val="0"/>
              <w:spacing w:after="0" w:line="240" w:lineRule="auto"/>
              <w:textAlignment w:val="baseline"/>
            </w:pPr>
            <w:r>
              <w:rPr>
                <w:noProof/>
              </w:rPr>
              <w:drawing>
                <wp:inline distT="0" distB="0" distL="0" distR="0" wp14:anchorId="6C4E9C57" wp14:editId="1ED0B8A9">
                  <wp:extent cx="2282190" cy="1144905"/>
                  <wp:effectExtent l="0" t="0" r="0" b="0"/>
                  <wp:docPr id="1" name="Picture 1" descr="A picture containing logo&#10;&#10;Description automatically generated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logo&#10;&#10;Description automatically generated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114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5" w:type="dxa"/>
            <w:tcBorders>
              <w:top w:val="single" w:sz="6" w:space="0" w:color="C8C8C8"/>
              <w:bottom w:val="single" w:sz="6" w:space="0" w:color="C8C8C8"/>
              <w:right w:val="single" w:sz="6" w:space="0" w:color="C8C8C8"/>
            </w:tcBorders>
          </w:tcPr>
          <w:p w14:paraId="7811B8DB" w14:textId="229ECB96" w:rsidR="006B64F2" w:rsidRDefault="0074129F">
            <w:pPr>
              <w:widowControl w:val="0"/>
              <w:spacing w:after="280" w:line="240" w:lineRule="auto"/>
              <w:textAlignment w:val="baseline"/>
            </w:pPr>
            <w:hyperlink r:id="rId13">
              <w:r w:rsidR="00CB39F0">
                <w:rPr>
                  <w:rStyle w:val="Hyperlink"/>
                  <w:rFonts w:ascii="Segoe UI Light" w:hAnsi="Segoe UI Light" w:cs="Segoe UI Light"/>
                  <w:sz w:val="16"/>
                  <w:szCs w:val="16"/>
                </w:rPr>
                <w:t>Basic Information about Lead in Drinking Water | US EPA</w:t>
              </w:r>
            </w:hyperlink>
          </w:p>
          <w:p w14:paraId="5AEDAC88" w14:textId="77777777" w:rsidR="006B64F2" w:rsidRDefault="00CB39F0">
            <w:pPr>
              <w:widowControl w:val="0"/>
              <w:spacing w:before="280" w:after="280" w:line="240" w:lineRule="auto"/>
              <w:textAlignment w:val="baseline"/>
              <w:rPr>
                <w:rFonts w:ascii="Segoe UI" w:hAnsi="Segoe UI" w:cs="Segoe UI"/>
                <w:color w:val="666666"/>
                <w:sz w:val="16"/>
                <w:szCs w:val="16"/>
              </w:rPr>
            </w:pPr>
            <w:r>
              <w:rPr>
                <w:rFonts w:ascii="Segoe UI" w:hAnsi="Segoe UI" w:cs="Segoe UI"/>
                <w:color w:val="666666"/>
                <w:sz w:val="16"/>
                <w:szCs w:val="16"/>
              </w:rPr>
              <w:t>Questions and answers about lead in drinking water -- health effects, EPA regulations etc.</w:t>
            </w:r>
          </w:p>
          <w:p w14:paraId="6B00CAB9" w14:textId="77777777" w:rsidR="006B64F2" w:rsidRDefault="00CB39F0">
            <w:pPr>
              <w:widowControl w:val="0"/>
              <w:spacing w:before="280" w:after="0" w:line="240" w:lineRule="auto"/>
              <w:textAlignment w:val="baseline"/>
              <w:rPr>
                <w:rFonts w:ascii="Segoe UI" w:hAnsi="Segoe UI" w:cs="Segoe UI"/>
                <w:color w:val="A6A6A6"/>
                <w:sz w:val="16"/>
                <w:szCs w:val="16"/>
              </w:rPr>
            </w:pPr>
            <w:r>
              <w:rPr>
                <w:rFonts w:ascii="Segoe UI" w:hAnsi="Segoe UI" w:cs="Segoe UI"/>
                <w:color w:val="A6A6A6"/>
                <w:sz w:val="16"/>
                <w:szCs w:val="16"/>
              </w:rPr>
              <w:t>www.epa.gov</w:t>
            </w:r>
          </w:p>
        </w:tc>
      </w:tr>
    </w:tbl>
    <w:p w14:paraId="53327C0F" w14:textId="77777777" w:rsidR="006B64F2" w:rsidRDefault="00CB39F0">
      <w:pPr>
        <w:pStyle w:val="NormalWeb"/>
        <w:shd w:val="clear" w:color="auto" w:fill="FFFFFF"/>
        <w:rPr>
          <w:rFonts w:ascii="Work Sans" w:hAnsi="Work Sans"/>
          <w:color w:val="000000"/>
        </w:rPr>
      </w:pPr>
      <w:r>
        <w:rPr>
          <w:rFonts w:ascii="Work Sans" w:hAnsi="Work Sans"/>
          <w:color w:val="000000"/>
        </w:rPr>
        <w:t xml:space="preserve">Lab </w:t>
      </w:r>
      <w:proofErr w:type="gramStart"/>
      <w:r>
        <w:rPr>
          <w:rFonts w:ascii="Work Sans" w:hAnsi="Work Sans"/>
          <w:color w:val="000000"/>
        </w:rPr>
        <w:t>report</w:t>
      </w:r>
      <w:proofErr w:type="gramEnd"/>
      <w:r>
        <w:rPr>
          <w:rFonts w:ascii="Work Sans" w:hAnsi="Work Sans"/>
          <w:color w:val="000000"/>
        </w:rPr>
        <w:t xml:space="preserve"> and flush sampling plan are available on the school website.</w:t>
      </w:r>
    </w:p>
    <w:p w14:paraId="52CE3C4A" w14:textId="77777777" w:rsidR="006B64F2" w:rsidRDefault="00CB39F0">
      <w:pPr>
        <w:pStyle w:val="NormalWeb"/>
        <w:shd w:val="clear" w:color="auto" w:fill="FFFFFF"/>
        <w:rPr>
          <w:rFonts w:ascii="Work Sans" w:hAnsi="Work Sans"/>
          <w:b/>
          <w:bCs/>
          <w:color w:val="000000"/>
        </w:rPr>
      </w:pPr>
      <w:r>
        <w:rPr>
          <w:rFonts w:ascii="Work Sans" w:hAnsi="Work Sans"/>
          <w:b/>
          <w:bCs/>
          <w:color w:val="000000"/>
        </w:rPr>
        <w:t xml:space="preserve">Testing criteria: </w:t>
      </w:r>
    </w:p>
    <w:p w14:paraId="0480E156" w14:textId="3FBED224" w:rsidR="00930762" w:rsidRPr="00930762" w:rsidRDefault="00CB39F0">
      <w:pPr>
        <w:pStyle w:val="NormalWeb"/>
        <w:shd w:val="clear" w:color="auto" w:fill="FFFFFF"/>
        <w:rPr>
          <w:rFonts w:ascii="Work Sans" w:hAnsi="Work Sans"/>
          <w:color w:val="000000"/>
        </w:rPr>
      </w:pPr>
      <w:r>
        <w:rPr>
          <w:rFonts w:ascii="Work Sans" w:hAnsi="Work Sans"/>
          <w:color w:val="000000"/>
        </w:rPr>
        <w:t>Each sample was tested for total lead content which includes dissolved and particulate. The elevated level is defined as a level of lead ≥ 5pbb. Sampling was conducted per EPA test guidelines by initial draw after stagnation (periods of non-use that exceed eight hours).  This manner of testing is the first step in localization and is paired with follow-up flush testing to further localize the source of any elevated levels. </w:t>
      </w:r>
    </w:p>
    <w:p w14:paraId="0F2EAFC3" w14:textId="7415D45D" w:rsidR="006B64F2" w:rsidRDefault="00CB39F0">
      <w:pPr>
        <w:pStyle w:val="NormalWeb"/>
        <w:shd w:val="clear" w:color="auto" w:fill="FFFFFF"/>
        <w:rPr>
          <w:rFonts w:ascii="Work Sans" w:hAnsi="Work Sans"/>
          <w:b/>
          <w:bCs/>
          <w:color w:val="000000"/>
        </w:rPr>
      </w:pPr>
      <w:r>
        <w:rPr>
          <w:rFonts w:ascii="Work Sans" w:hAnsi="Work Sans"/>
          <w:b/>
          <w:bCs/>
          <w:color w:val="000000"/>
        </w:rPr>
        <w:t>Remediation:</w:t>
      </w:r>
    </w:p>
    <w:p w14:paraId="0D199114" w14:textId="77777777" w:rsidR="006B64F2" w:rsidRDefault="00CB39F0">
      <w:pPr>
        <w:pStyle w:val="NormalWeb"/>
        <w:shd w:val="clear" w:color="auto" w:fill="FFFFFF"/>
        <w:spacing w:before="0" w:after="0"/>
        <w:rPr>
          <w:rFonts w:ascii="Work Sans" w:hAnsi="Work Sans"/>
          <w:color w:val="000000"/>
        </w:rPr>
      </w:pPr>
      <w:r>
        <w:rPr>
          <w:rFonts w:ascii="Work Sans" w:hAnsi="Work Sans"/>
          <w:color w:val="000000"/>
        </w:rPr>
        <w:t>These are efforts to mitigate and correct the levels of lead to which children and staff are exposed: The remediation plan will be posted when follow-up flush testing results are received and fiduciary constraints as well as maintenance availability have been considered.</w:t>
      </w:r>
    </w:p>
    <w:p w14:paraId="28DF5973" w14:textId="77777777" w:rsidR="006B64F2" w:rsidRDefault="006B64F2">
      <w:pPr>
        <w:pStyle w:val="NormalWeb"/>
        <w:shd w:val="clear" w:color="auto" w:fill="FFFFFF"/>
        <w:spacing w:before="0" w:after="0"/>
        <w:rPr>
          <w:rFonts w:ascii="Work Sans" w:hAnsi="Work Sans"/>
          <w:color w:val="000000"/>
        </w:rPr>
      </w:pPr>
    </w:p>
    <w:p w14:paraId="1B775890" w14:textId="77777777" w:rsidR="006B64F2" w:rsidRDefault="006B64F2">
      <w:pPr>
        <w:pStyle w:val="NormalWeb"/>
        <w:shd w:val="clear" w:color="auto" w:fill="FFFFFF"/>
        <w:spacing w:before="0" w:after="0"/>
        <w:rPr>
          <w:rFonts w:ascii="Work Sans" w:hAnsi="Work Sans"/>
          <w:color w:val="000000"/>
        </w:rPr>
      </w:pPr>
    </w:p>
    <w:p w14:paraId="4C8D403D" w14:textId="77777777" w:rsidR="006B64F2" w:rsidRDefault="006B64F2">
      <w:pPr>
        <w:pStyle w:val="NormalWeb"/>
        <w:shd w:val="clear" w:color="auto" w:fill="FFFFFF"/>
        <w:spacing w:before="0" w:after="0"/>
        <w:rPr>
          <w:rFonts w:ascii="Work Sans" w:hAnsi="Work Sans"/>
          <w:color w:val="000000"/>
        </w:rPr>
      </w:pPr>
    </w:p>
    <w:p w14:paraId="61E63947" w14:textId="77777777" w:rsidR="006B64F2" w:rsidRDefault="006B64F2">
      <w:pPr>
        <w:pStyle w:val="NormalWeb"/>
        <w:shd w:val="clear" w:color="auto" w:fill="FFFFFF"/>
        <w:spacing w:before="0" w:after="0"/>
        <w:rPr>
          <w:rFonts w:ascii="Work Sans" w:hAnsi="Work Sans"/>
          <w:color w:val="000000"/>
        </w:rPr>
      </w:pPr>
    </w:p>
    <w:p w14:paraId="4E0D2BC3" w14:textId="77777777" w:rsidR="006B64F2" w:rsidRDefault="006B64F2">
      <w:pPr>
        <w:pStyle w:val="NormalWeb"/>
        <w:shd w:val="clear" w:color="auto" w:fill="FFFFFF"/>
        <w:spacing w:before="0" w:after="0"/>
        <w:jc w:val="center"/>
        <w:rPr>
          <w:rFonts w:ascii="Work Sans" w:hAnsi="Work Sans"/>
          <w:color w:val="000000"/>
        </w:rPr>
      </w:pPr>
    </w:p>
    <w:p w14:paraId="004EDBB0" w14:textId="77777777" w:rsidR="006B64F2" w:rsidRDefault="006B64F2"/>
    <w:sectPr w:rsidR="006B64F2">
      <w:headerReference w:type="default" r:id="rId14"/>
      <w:footerReference w:type="default" r:id="rId15"/>
      <w:pgSz w:w="12240" w:h="15840"/>
      <w:pgMar w:top="245" w:right="1440" w:bottom="1440" w:left="1440" w:header="0" w:footer="14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A964E" w14:textId="77777777" w:rsidR="00CB39F0" w:rsidRDefault="00CB39F0">
      <w:pPr>
        <w:spacing w:after="0" w:line="240" w:lineRule="auto"/>
      </w:pPr>
      <w:r>
        <w:separator/>
      </w:r>
    </w:p>
  </w:endnote>
  <w:endnote w:type="continuationSeparator" w:id="0">
    <w:p w14:paraId="46A28146" w14:textId="77777777" w:rsidR="00CB39F0" w:rsidRDefault="00CB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874C" w14:textId="021552AD" w:rsidR="006B64F2" w:rsidRDefault="00CB39F0">
    <w:pPr>
      <w:pStyle w:val="Footer"/>
    </w:pPr>
    <w:r>
      <w:rPr>
        <w:b/>
        <w:bCs/>
        <w:i/>
        <w:iCs/>
      </w:rPr>
      <w:t>Ph:  417-294-6112</w:t>
    </w:r>
    <w:r>
      <w:t xml:space="preserve">    </w:t>
    </w:r>
    <w:r>
      <w:rPr>
        <w:b/>
        <w:bCs/>
        <w:i/>
        <w:iCs/>
      </w:rPr>
      <w:t>Email:</w:t>
    </w:r>
    <w:r>
      <w:t xml:space="preserve"> </w:t>
    </w:r>
    <w:hyperlink r:id="rId1">
      <w:r>
        <w:rPr>
          <w:rStyle w:val="Hyperlink"/>
        </w:rPr>
        <w:t>bobfranklin@gettheleadoutmo.us</w:t>
      </w:r>
    </w:hyperlink>
    <w:r>
      <w:t xml:space="preserve">    </w:t>
    </w:r>
  </w:p>
  <w:p w14:paraId="415C1EF0" w14:textId="77777777" w:rsidR="006B64F2" w:rsidRDefault="006B6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8E16B" w14:textId="77777777" w:rsidR="00CB39F0" w:rsidRDefault="00CB39F0">
      <w:pPr>
        <w:spacing w:after="0" w:line="240" w:lineRule="auto"/>
      </w:pPr>
      <w:r>
        <w:separator/>
      </w:r>
    </w:p>
  </w:footnote>
  <w:footnote w:type="continuationSeparator" w:id="0">
    <w:p w14:paraId="2C513D3F" w14:textId="77777777" w:rsidR="00CB39F0" w:rsidRDefault="00CB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89BCD" w14:textId="77777777" w:rsidR="006B64F2" w:rsidRDefault="00CB39F0">
    <w:pPr>
      <w:pStyle w:val="Header"/>
      <w:jc w:val="right"/>
    </w:pPr>
    <w:r>
      <w:t xml:space="preserve">                                                                                                                                   </w:t>
    </w:r>
  </w:p>
  <w:p w14:paraId="630DB7BA" w14:textId="77777777" w:rsidR="006B64F2" w:rsidRDefault="00CB39F0">
    <w:pPr>
      <w:pStyle w:val="Header"/>
      <w:jc w:val="right"/>
      <w:rPr>
        <w:sz w:val="28"/>
        <w:szCs w:val="28"/>
      </w:rPr>
    </w:pPr>
    <w:r>
      <w:rPr>
        <w:sz w:val="28"/>
        <w:szCs w:val="28"/>
      </w:rPr>
      <w:t>Veteran-Owned Business</w:t>
    </w:r>
  </w:p>
  <w:p w14:paraId="204E3383" w14:textId="77777777" w:rsidR="006B64F2" w:rsidRDefault="00CB39F0">
    <w:pPr>
      <w:pStyle w:val="Header"/>
    </w:pPr>
    <w:r>
      <w:rPr>
        <w:noProof/>
      </w:rPr>
      <w:drawing>
        <wp:inline distT="0" distB="0" distL="0" distR="0" wp14:anchorId="2D37ED84" wp14:editId="559FA74F">
          <wp:extent cx="2190750" cy="857250"/>
          <wp:effectExtent l="0" t="0" r="0" b="0"/>
          <wp:docPr id="2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7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744" t="37049" r="27349" b="36370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1AF35E" w14:textId="77777777" w:rsidR="006B64F2" w:rsidRDefault="006B64F2">
    <w:pPr>
      <w:pStyle w:val="Header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A262D"/>
    <w:multiLevelType w:val="multilevel"/>
    <w:tmpl w:val="68DEAD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6909E4"/>
    <w:multiLevelType w:val="multilevel"/>
    <w:tmpl w:val="5394BD9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 w16cid:durableId="2047677581">
    <w:abstractNumId w:val="1"/>
  </w:num>
  <w:num w:numId="2" w16cid:durableId="1008755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F2"/>
    <w:rsid w:val="003A37F7"/>
    <w:rsid w:val="006B64F2"/>
    <w:rsid w:val="00930762"/>
    <w:rsid w:val="00CB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789B0"/>
  <w15:docId w15:val="{B0B4FAF9-E3DC-4EBB-85AC-12C2C548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kern w:val="2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unhideWhenUsed/>
    <w:qFormat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qFormat/>
  </w:style>
  <w:style w:type="character" w:customStyle="1" w:styleId="FooterChar">
    <w:name w:val="Footer Char"/>
    <w:basedOn w:val="DefaultParagraphFont"/>
    <w:link w:val="Footer"/>
    <w:qFormat/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styleId="HTMLCite">
    <w:name w:val="HTML Cite"/>
    <w:basedOn w:val="DefaultParagraphFont"/>
    <w:uiPriority w:val="99"/>
    <w:qFormat/>
    <w:rPr>
      <w:i/>
      <w:iCs/>
    </w:rPr>
  </w:style>
  <w:style w:type="character" w:customStyle="1" w:styleId="bmdetailsoverlay">
    <w:name w:val="bm_details_overlay"/>
    <w:basedOn w:val="DefaultParagraphFont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maps?&amp;mepi=109~~TopOfPage~Address_Link&amp;ty=18&amp;q=Kansas%20City%20Health%20Department&amp;ss=ypid.YN873x15980247275175191975&amp;ppois=39.08327865600586_-94.57134246826172_Kansas%20City%20Health%20Department_YN873x15980247275175191975~&amp;cp=39.083279~-94.571342&amp;v=2&amp;sV=1" TargetMode="External"/><Relationship Id="rId13" Type="http://schemas.openxmlformats.org/officeDocument/2006/relationships/hyperlink" Target="file:///C:\Users\sarge\Downloads\_bl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ng.com/ck/a?!&amp;&amp;p=6dbfad9929ee735dJmltdHM9MTY5NDU2MzIwMCZpZ3VpZD0wYjMxZjJmNS0wMmM3LTYyNzQtMzU4MC1lMTc0MDNlZDYzMDUmaW5zaWQ9NTQ2Mg&amp;ptn=3&amp;hsh=3&amp;fclid=0b31f2f5-02c7-6274-3580-e17403ed6305&amp;u=a1aHR0cHM6Ly93d3cuYmluZy5jb20vYWxpbmsvbGluaz91cmw9aHR0cHMlM2ElMmYlMmZ3d3cua2Ntby5nb3YlMmZjaXR5LWhhbGwlMmZkZXBhcnRtZW50cyUyZmhlYWx0aCZzb3VyY2U9c2VycC1sb2NhbCZoPUJpa1glMmZzNU1BcG1Cc2ZHJTJiWFJ4aEZsdzlsTkRSeEo2cWV3OXdKNGV6eTFRJTNkJnA9bHdfZ2J0JmlnPUI2NkZEMjZFMkI0RjQ0RkQ4NzQ1RkYyOTVDQjZCMDI5JnlwaWQ9WU44NzN4MTU5ODAyNDcyNzUxNzUxOTE5NzU&amp;ntb=1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pa.gov/ground-water-and-drinking-water/basic-information-about-lead-drinking-water#healt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file:///C:\Users\sarge\Downloads\_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8165136008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bfranklin@gettheleadoutmo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Results</vt:lpstr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Results</dc:title>
  <dc:subject/>
  <dc:creator>robert franklin</dc:creator>
  <dc:description/>
  <cp:lastModifiedBy>robert franklin</cp:lastModifiedBy>
  <cp:revision>2</cp:revision>
  <dcterms:created xsi:type="dcterms:W3CDTF">2023-09-13T19:56:00Z</dcterms:created>
  <dcterms:modified xsi:type="dcterms:W3CDTF">2023-09-13T19:56:00Z</dcterms:modified>
  <dc:language>en-US</dc:language>
</cp:coreProperties>
</file>